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B" w:rsidRPr="001A6C2C" w:rsidRDefault="007D12BA" w:rsidP="001B33CB">
      <w:pPr>
        <w:rPr>
          <w:rFonts w:cstheme="minorHAnsi"/>
        </w:rPr>
      </w:pPr>
      <w:r w:rsidRPr="001A6C2C">
        <w:rPr>
          <w:rFonts w:cstheme="minorHAnsi"/>
          <w:b/>
        </w:rPr>
        <w:t>ZAŁĄCZNIK NR 1</w:t>
      </w:r>
      <w:r w:rsidR="001B33CB" w:rsidRPr="001A6C2C">
        <w:rPr>
          <w:rFonts w:cstheme="minorHAnsi"/>
          <w:b/>
        </w:rPr>
        <w:t xml:space="preserve"> </w:t>
      </w:r>
      <w:r w:rsidR="001B33CB" w:rsidRPr="001A6C2C">
        <w:rPr>
          <w:rFonts w:cstheme="minorHAnsi"/>
        </w:rPr>
        <w:t xml:space="preserve">do zapytania ofertowego nr </w:t>
      </w:r>
      <w:r w:rsidR="001A6C2C" w:rsidRPr="001A6C2C">
        <w:rPr>
          <w:rFonts w:eastAsia="Calibri" w:cstheme="minorHAnsi"/>
          <w:color w:val="000000"/>
        </w:rPr>
        <w:t>PROT.01/03</w:t>
      </w:r>
      <w:r w:rsidR="001B33CB" w:rsidRPr="001A6C2C">
        <w:rPr>
          <w:rFonts w:eastAsia="Calibri" w:cstheme="minorHAnsi"/>
          <w:color w:val="000000"/>
        </w:rPr>
        <w:t>/2023</w:t>
      </w:r>
    </w:p>
    <w:p w:rsidR="007D12BA" w:rsidRPr="001A6C2C" w:rsidRDefault="007D12BA" w:rsidP="009E5847">
      <w:pPr>
        <w:spacing w:after="0"/>
        <w:jc w:val="both"/>
        <w:rPr>
          <w:rFonts w:cstheme="minorHAnsi"/>
          <w:b/>
        </w:rPr>
      </w:pPr>
    </w:p>
    <w:p w:rsidR="00593519" w:rsidRPr="001A6C2C" w:rsidRDefault="00593519" w:rsidP="009E5847">
      <w:pPr>
        <w:spacing w:after="0"/>
        <w:jc w:val="both"/>
        <w:rPr>
          <w:rFonts w:cstheme="minorHAnsi"/>
          <w:b/>
        </w:rPr>
      </w:pPr>
    </w:p>
    <w:p w:rsidR="00593519" w:rsidRPr="001A6C2C" w:rsidRDefault="00593519" w:rsidP="00593519">
      <w:pPr>
        <w:spacing w:after="0"/>
        <w:jc w:val="center"/>
        <w:rPr>
          <w:rFonts w:cstheme="minorHAnsi"/>
          <w:b/>
        </w:rPr>
      </w:pPr>
      <w:r w:rsidRPr="001A6C2C">
        <w:rPr>
          <w:rFonts w:cstheme="minorHAnsi"/>
          <w:b/>
        </w:rPr>
        <w:t>SZCZEGÓŁOWY OPIS PRZEDMIOTU ZAMÓWIENIA</w:t>
      </w:r>
    </w:p>
    <w:p w:rsidR="00BF7D8D" w:rsidRPr="001A6C2C" w:rsidRDefault="00BF7D8D" w:rsidP="009E5847">
      <w:pPr>
        <w:spacing w:after="0"/>
        <w:jc w:val="both"/>
        <w:rPr>
          <w:rFonts w:cstheme="minorHAnsi"/>
          <w:b/>
        </w:rPr>
      </w:pPr>
    </w:p>
    <w:p w:rsidR="001A6C2C" w:rsidRPr="001A6C2C" w:rsidRDefault="001A6C2C" w:rsidP="001A6C2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realizacja działań reklamowych mających na celu promocję Festiwalu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FolkArt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w mediach społecznościowych oraz w systemie reklamowym Google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ads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w sposób umożliwiający użytkownikom Internetu przejście na stronę zamawiającego w celu zapoznania się ze szczegółowym planem wydarzenia. </w:t>
      </w:r>
    </w:p>
    <w:p w:rsidR="001A6C2C" w:rsidRPr="001A6C2C" w:rsidRDefault="001A6C2C" w:rsidP="001A6C2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Czas realizacji kampanii: kwiecień/maj 2023.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Termin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wydarzenia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: 6 i 7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maja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1A6C2C" w:rsidRPr="001A6C2C" w:rsidRDefault="001A6C2C" w:rsidP="001A6C2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Grupą docelową wszystkich powyższych działań są osoby zamieszkujące województwo podkarpackie. Wykonawca zobowiązany jest dotrzeć do Polaków oraz osób pochodzenia ukraińskiego znajdujących się na terenie województwa. </w:t>
      </w:r>
    </w:p>
    <w:p w:rsidR="001A6C2C" w:rsidRPr="001A6C2C" w:rsidRDefault="001A6C2C" w:rsidP="001A6C2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Powstałe w ramach działań reklamowych grafiki, banery, treści itd. powinny byś spójne z grafiką plakatów i biletów festiwalowych oraz obowiązkowo muszą zawierać logotypy projektowe oraz klauzulę informacyjną o treści: </w:t>
      </w:r>
      <w:r w:rsidRPr="001A6C2C">
        <w:rPr>
          <w:rFonts w:asciiTheme="minorHAnsi" w:eastAsia="Calibri" w:hAnsiTheme="minorHAnsi" w:cstheme="minorHAnsi"/>
          <w:i/>
          <w:sz w:val="22"/>
          <w:szCs w:val="22"/>
          <w:lang w:val="pl-PL"/>
        </w:rPr>
        <w:t>„</w:t>
      </w:r>
      <w:r w:rsidRPr="001A6C2C">
        <w:rPr>
          <w:rFonts w:asciiTheme="minorHAnsi" w:hAnsiTheme="minorHAnsi" w:cstheme="minorHAnsi"/>
          <w:i/>
          <w:sz w:val="22"/>
          <w:szCs w:val="22"/>
          <w:lang w:val="pl-PL"/>
        </w:rPr>
        <w:t xml:space="preserve">Karpacki Festiwal </w:t>
      </w:r>
      <w:proofErr w:type="spellStart"/>
      <w:r w:rsidRPr="001A6C2C">
        <w:rPr>
          <w:rFonts w:asciiTheme="minorHAnsi" w:hAnsiTheme="minorHAnsi" w:cstheme="minorHAnsi"/>
          <w:i/>
          <w:sz w:val="22"/>
          <w:szCs w:val="22"/>
          <w:lang w:val="pl-PL"/>
        </w:rPr>
        <w:t>FolkArt</w:t>
      </w:r>
      <w:proofErr w:type="spellEnd"/>
      <w:r w:rsidRPr="001A6C2C">
        <w:rPr>
          <w:rFonts w:asciiTheme="minorHAnsi" w:hAnsiTheme="minorHAnsi" w:cstheme="minorHAnsi"/>
          <w:i/>
          <w:sz w:val="22"/>
          <w:szCs w:val="22"/>
          <w:lang w:val="pl-PL"/>
        </w:rPr>
        <w:t xml:space="preserve"> – wspólne dziedzictwo kulturowe Karpat</w:t>
      </w:r>
      <w:r w:rsidRPr="001A6C2C">
        <w:rPr>
          <w:rFonts w:asciiTheme="minorHAnsi" w:eastAsia="Calibri" w:hAnsiTheme="minorHAnsi" w:cstheme="minorHAnsi"/>
          <w:i/>
          <w:sz w:val="22"/>
          <w:szCs w:val="22"/>
          <w:lang w:val="pl-PL"/>
        </w:rPr>
        <w:t>” finansowany ze środków Programu Współpracy Transgranicznej Polska-Białoruś-Ukraina 2014-2020.</w:t>
      </w:r>
    </w:p>
    <w:p w:rsidR="001A6C2C" w:rsidRPr="001A6C2C" w:rsidRDefault="001A6C2C" w:rsidP="001A6C2C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Szczegółowy zakres przedmiotu zamówienia został opisany niżej:</w:t>
      </w:r>
    </w:p>
    <w:p w:rsidR="001A6C2C" w:rsidRPr="001A6C2C" w:rsidRDefault="001A6C2C" w:rsidP="001A6C2C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A6C2C" w:rsidRPr="001A6C2C" w:rsidRDefault="001A6C2C" w:rsidP="001A6C2C">
      <w:pPr>
        <w:jc w:val="both"/>
        <w:rPr>
          <w:rFonts w:cstheme="minorHAnsi"/>
          <w:b/>
        </w:rPr>
      </w:pPr>
      <w:r w:rsidRPr="001A6C2C">
        <w:rPr>
          <w:rFonts w:cstheme="minorHAnsi"/>
          <w:b/>
        </w:rPr>
        <w:t>Szczegółowy zakres przedmiotu zamówienia</w:t>
      </w:r>
    </w:p>
    <w:p w:rsidR="001A6C2C" w:rsidRPr="001A6C2C" w:rsidRDefault="001A6C2C" w:rsidP="001A6C2C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6C2C">
        <w:rPr>
          <w:rFonts w:asciiTheme="minorHAnsi" w:hAnsiTheme="minorHAnsi" w:cstheme="minorHAnsi"/>
          <w:sz w:val="22"/>
          <w:szCs w:val="22"/>
        </w:rPr>
        <w:t>Realizacja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kampanii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Google ads: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Realizacja kampanii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banerowej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elastycznej promującej festiwal, o którym szczegółowe informacje znajdują się na stronie Zamawiającego.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Realizacja kampanii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banerowej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statycznej promującej festiwal, o którym szczegółowe informacje znajdują się na stronie Zamawiającego.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Przygotowanie banerów reklamowych na potrzeby kampanii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banerowej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statycznej i elastycznej: 5 rozmiarów banerów w rozmiarach preferowanych przez system reklamowy Google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ads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). 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Kampania powinna być kierowana do osób znajdujących się na terenie województwa podkarpackiego. W ramach działań reklamowych Wykonawca zobowiązany jest do dotarcia z banerami do Polaków oraz osób pochodzenia ukraińskiego. 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przeprowadzić kampanię w 2 językach: polskim i ukraińskim. 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do przygotowania innych materiałów koniecznych do przeprowadzenia kampanii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banerowej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– szczególnie nagłówków i tekstów reklamowych koniecznych do przeprowadzenia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banerowej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kampanii elastycznej.</w:t>
      </w:r>
    </w:p>
    <w:p w:rsidR="001A6C2C" w:rsidRPr="001A6C2C" w:rsidRDefault="001A6C2C" w:rsidP="001A6C2C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Osiągnięcie minimalnej ilości kliknięć reklamy: 1850; osiągnięcie minimalnej liczby wyświetleń reklamy 180 000</w:t>
      </w:r>
    </w:p>
    <w:p w:rsidR="001A6C2C" w:rsidRPr="001A6C2C" w:rsidRDefault="001A6C2C" w:rsidP="001A6C2C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1A6C2C" w:rsidRPr="001A6C2C" w:rsidRDefault="001A6C2C" w:rsidP="001A6C2C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6C2C">
        <w:rPr>
          <w:rFonts w:asciiTheme="minorHAnsi" w:hAnsiTheme="minorHAnsi" w:cstheme="minorHAnsi"/>
          <w:sz w:val="22"/>
          <w:szCs w:val="22"/>
        </w:rPr>
        <w:t>Kampania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YouTube</w:t>
      </w:r>
    </w:p>
    <w:p w:rsidR="001A6C2C" w:rsidRPr="001A6C2C" w:rsidRDefault="001A6C2C" w:rsidP="001A6C2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Realizacja kampanii wideo na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YouTube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w formacie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InStream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, która będzie przedstawiać i promować Festiwal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FolkArt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A6C2C" w:rsidRPr="001A6C2C" w:rsidRDefault="001A6C2C" w:rsidP="001A6C2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Umieszczenie wideo promocyjnego na kanale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YouTube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Zamawiającego.</w:t>
      </w:r>
    </w:p>
    <w:p w:rsidR="001A6C2C" w:rsidRPr="001A6C2C" w:rsidRDefault="001A6C2C" w:rsidP="001A6C2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6C2C">
        <w:rPr>
          <w:rFonts w:asciiTheme="minorHAnsi" w:hAnsiTheme="minorHAnsi" w:cstheme="minorHAnsi"/>
          <w:sz w:val="22"/>
          <w:szCs w:val="22"/>
        </w:rPr>
        <w:t>Wideo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reklamowe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dostarcza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>.</w:t>
      </w:r>
    </w:p>
    <w:p w:rsidR="001A6C2C" w:rsidRPr="001A6C2C" w:rsidRDefault="001A6C2C" w:rsidP="001A6C2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Osiągnięcie minimalnej ilości wyświetleń reklamy: 4000</w:t>
      </w:r>
    </w:p>
    <w:p w:rsidR="001A6C2C" w:rsidRPr="001A6C2C" w:rsidRDefault="001A6C2C" w:rsidP="001A6C2C">
      <w:pPr>
        <w:ind w:left="1110"/>
        <w:jc w:val="both"/>
        <w:rPr>
          <w:rFonts w:cstheme="minorHAnsi"/>
          <w:highlight w:val="yellow"/>
        </w:rPr>
      </w:pPr>
    </w:p>
    <w:p w:rsidR="001A6C2C" w:rsidRPr="001A6C2C" w:rsidRDefault="001A6C2C" w:rsidP="001A6C2C">
      <w:pPr>
        <w:ind w:left="1110"/>
        <w:jc w:val="both"/>
        <w:rPr>
          <w:rFonts w:cstheme="minorHAnsi"/>
          <w:highlight w:val="yellow"/>
        </w:rPr>
      </w:pPr>
    </w:p>
    <w:p w:rsidR="001A6C2C" w:rsidRPr="001A6C2C" w:rsidRDefault="001A6C2C" w:rsidP="001A6C2C">
      <w:pPr>
        <w:ind w:left="1110"/>
        <w:jc w:val="both"/>
        <w:rPr>
          <w:rFonts w:cstheme="minorHAnsi"/>
          <w:highlight w:val="yellow"/>
        </w:rPr>
      </w:pPr>
    </w:p>
    <w:p w:rsidR="001A6C2C" w:rsidRPr="001A6C2C" w:rsidRDefault="001A6C2C" w:rsidP="001A6C2C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6C2C">
        <w:rPr>
          <w:rFonts w:asciiTheme="minorHAnsi" w:hAnsiTheme="minorHAnsi" w:cstheme="minorHAnsi"/>
          <w:sz w:val="22"/>
          <w:szCs w:val="22"/>
        </w:rPr>
        <w:t>Kampania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Facebook ads i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ads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Realizacja dwujęzycznej kampanii postów sponsorowanych na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Facebooku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i 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Instagramie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przekierowujących do strony Zamawiającego kierowanej do grupy odbiorców, która jest zainteresowana festiwalem. Celem kampanii jest promocja festiwalu, którego program i szczegółowe informacje znajdą się na stronie Zamawiającego. 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Kampania zostanie zaadresowana do grupy docelowej wskazanej w pkt. 1d.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Posty sponsorowane wykorzystywane w reklamie powinny mieć formę graficzną oraz formę wideo.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Wideo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dostarcza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Przygotowanie materiałów graficznych, które zostaną wykorzystane w kampanii na 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Facebooku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: 3 rozmiary grafik – 1200x1200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px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, 1200x628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px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, 1080x1920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px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Stały monitoring reakcji wobec postów sponsorowanych i moderacja komentarzy w porozumieniu z Zamawiającym. 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Opublikowanie postów informujących o festiwalu na profilu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Facebook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Instagram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Zamawiającego. </w:t>
      </w:r>
    </w:p>
    <w:p w:rsidR="001A6C2C" w:rsidRPr="001A6C2C" w:rsidRDefault="001A6C2C" w:rsidP="001A6C2C">
      <w:pPr>
        <w:pStyle w:val="Akapitzlist"/>
        <w:numPr>
          <w:ilvl w:val="0"/>
          <w:numId w:val="39"/>
        </w:numPr>
        <w:spacing w:after="160" w:line="259" w:lineRule="auto"/>
        <w:ind w:left="15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Osiągnięcie minimalnego wyniku kampanii przekierowującej – 3 000 kliknięć reklamy; osiągnięcie minimalnej miesięcznej liczby wyświetleń reklamy – 330 000</w:t>
      </w:r>
    </w:p>
    <w:p w:rsidR="001A6C2C" w:rsidRPr="001A6C2C" w:rsidRDefault="001A6C2C" w:rsidP="001A6C2C">
      <w:pPr>
        <w:jc w:val="both"/>
        <w:rPr>
          <w:rFonts w:cstheme="minorHAnsi"/>
          <w:highlight w:val="yellow"/>
        </w:rPr>
      </w:pPr>
    </w:p>
    <w:p w:rsidR="001A6C2C" w:rsidRPr="001A6C2C" w:rsidRDefault="001A6C2C" w:rsidP="001A6C2C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Szczegółowe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zasady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świadczenia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6C2C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Wykonawca jest zobowiązany do bieżącego raportowania wyników wszystkich prowadzonych działań.</w:t>
      </w:r>
    </w:p>
    <w:p w:rsidR="001A6C2C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>Każdemu kanałowi komunikacji przysługiwać będą określone KPI (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Key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Performance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Indicators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, pol. kluczowe wskaźniki efektywności), które pozwalają zmierzyć wyniki poszczególnych działań. Zestawy KPI zostaną opracowane w porozumieniu pomiędzy Zamawiającym i Wykonawcą. </w:t>
      </w:r>
    </w:p>
    <w:p w:rsidR="001A6C2C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wdrożyć rozbudowaną analitykę prowadzonych działań. Analityka powinna obejmować co najmniej wskaźniki takie jak: liczba sesji i użytkowników na stronie internetowej z poszczególnych realizowanych działań, ilość kliknięć i wyświetleń reklamy, koszt kliknięcia reklamy. </w:t>
      </w:r>
    </w:p>
    <w:p w:rsidR="001A6C2C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 celu możliwości pozyskania tego typu danych analitycznych Wykonawca zobowiązany jest do </w:t>
      </w:r>
      <w:proofErr w:type="spellStart"/>
      <w:r w:rsidRPr="001A6C2C">
        <w:rPr>
          <w:rFonts w:asciiTheme="minorHAnsi" w:hAnsiTheme="minorHAnsi" w:cstheme="minorHAnsi"/>
          <w:sz w:val="22"/>
          <w:szCs w:val="22"/>
          <w:lang w:val="pl-PL"/>
        </w:rPr>
        <w:t>otagowania</w:t>
      </w:r>
      <w:proofErr w:type="spellEnd"/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 witryny tak, aby właściwe informacje trafiały do systemu Google Analytics.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Tagowanie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odbyć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poprzez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6C2C">
        <w:rPr>
          <w:rFonts w:asciiTheme="minorHAnsi" w:hAnsiTheme="minorHAnsi" w:cstheme="minorHAnsi"/>
          <w:sz w:val="22"/>
          <w:szCs w:val="22"/>
        </w:rPr>
        <w:t>narzędzie</w:t>
      </w:r>
      <w:proofErr w:type="spellEnd"/>
      <w:r w:rsidRPr="001A6C2C">
        <w:rPr>
          <w:rFonts w:asciiTheme="minorHAnsi" w:hAnsiTheme="minorHAnsi" w:cstheme="minorHAnsi"/>
          <w:sz w:val="22"/>
          <w:szCs w:val="22"/>
        </w:rPr>
        <w:t xml:space="preserve"> Google Tag Manager. </w:t>
      </w:r>
    </w:p>
    <w:p w:rsidR="001A6C2C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do raportowania wyników prowadzonych przez siebie działań. Raportowanie powinno odbywać się w czasie rzeczywistym za pomocą narzędzi typu Google Data Studio i/lub drogą mailową. </w:t>
      </w:r>
    </w:p>
    <w:p w:rsidR="00BD2FE5" w:rsidRPr="001A6C2C" w:rsidRDefault="001A6C2C" w:rsidP="001A6C2C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6C2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zobowiązany jest na zakończenie realizacji kampanii do przedstawienia raportu w wersji elektronicznej podsumowującego działania przeprowadzone w ramach kampanii wraz z dostępnymi na zakończenie czasu realizacji działań statystykami (po uzgodnieniu z Zamawiającym). </w:t>
      </w:r>
      <w:bookmarkStart w:id="0" w:name="_GoBack"/>
      <w:bookmarkEnd w:id="0"/>
    </w:p>
    <w:sectPr w:rsidR="00BD2FE5" w:rsidRPr="001A6C2C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0" w:rsidRDefault="004E32F0" w:rsidP="00967BE0">
      <w:pPr>
        <w:spacing w:after="0" w:line="240" w:lineRule="auto"/>
      </w:pPr>
      <w:r>
        <w:separator/>
      </w:r>
    </w:p>
  </w:endnote>
  <w:endnote w:type="continuationSeparator" w:id="0">
    <w:p w:rsidR="004E32F0" w:rsidRDefault="004E32F0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852034" cy="540000"/>
          <wp:effectExtent l="0" t="0" r="5715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3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41A" w:rsidRPr="00DB6FD1" w:rsidRDefault="0026441A" w:rsidP="00DB6FD1">
    <w:pPr>
      <w:pStyle w:val="Stopka"/>
      <w:rPr>
        <w:sz w:val="12"/>
        <w:szCs w:val="12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0" w:rsidRDefault="004E32F0" w:rsidP="00967BE0">
      <w:pPr>
        <w:spacing w:after="0" w:line="240" w:lineRule="auto"/>
      </w:pPr>
      <w:r>
        <w:separator/>
      </w:r>
    </w:p>
  </w:footnote>
  <w:footnote w:type="continuationSeparator" w:id="0">
    <w:p w:rsidR="004E32F0" w:rsidRDefault="004E32F0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41A" w:rsidRDefault="0026441A" w:rsidP="001E2226">
    <w:pPr>
      <w:pStyle w:val="Nagwek"/>
      <w:jc w:val="right"/>
    </w:pPr>
  </w:p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D4"/>
    <w:multiLevelType w:val="hybridMultilevel"/>
    <w:tmpl w:val="EE8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5691"/>
    <w:multiLevelType w:val="multilevel"/>
    <w:tmpl w:val="C9F0A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80532"/>
    <w:multiLevelType w:val="hybridMultilevel"/>
    <w:tmpl w:val="FCDA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4616"/>
    <w:multiLevelType w:val="hybridMultilevel"/>
    <w:tmpl w:val="A98E2C3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>
    <w:nsid w:val="123B22B1"/>
    <w:multiLevelType w:val="hybridMultilevel"/>
    <w:tmpl w:val="4CFA7C08"/>
    <w:lvl w:ilvl="0" w:tplc="7E9479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40C3B1E"/>
    <w:multiLevelType w:val="hybridMultilevel"/>
    <w:tmpl w:val="63E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477"/>
    <w:multiLevelType w:val="hybridMultilevel"/>
    <w:tmpl w:val="A4D4C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BF8"/>
    <w:multiLevelType w:val="hybridMultilevel"/>
    <w:tmpl w:val="28328138"/>
    <w:lvl w:ilvl="0" w:tplc="AA3C4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A8B224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08B0"/>
    <w:multiLevelType w:val="hybridMultilevel"/>
    <w:tmpl w:val="CC1E379C"/>
    <w:lvl w:ilvl="0" w:tplc="A77E4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7EA5"/>
    <w:multiLevelType w:val="multilevel"/>
    <w:tmpl w:val="A8E8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87522"/>
    <w:multiLevelType w:val="multilevel"/>
    <w:tmpl w:val="EC8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415AB"/>
    <w:multiLevelType w:val="hybridMultilevel"/>
    <w:tmpl w:val="DD32622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FFD303D"/>
    <w:multiLevelType w:val="hybridMultilevel"/>
    <w:tmpl w:val="BD6C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2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FF72CD"/>
    <w:multiLevelType w:val="hybridMultilevel"/>
    <w:tmpl w:val="D43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765BB"/>
    <w:multiLevelType w:val="hybridMultilevel"/>
    <w:tmpl w:val="1D7C6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5241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46F0"/>
    <w:multiLevelType w:val="hybridMultilevel"/>
    <w:tmpl w:val="69BCC70E"/>
    <w:lvl w:ilvl="0" w:tplc="64C41B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B02D6"/>
    <w:multiLevelType w:val="hybridMultilevel"/>
    <w:tmpl w:val="FDC88056"/>
    <w:lvl w:ilvl="0" w:tplc="45FE7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B3F05"/>
    <w:multiLevelType w:val="hybridMultilevel"/>
    <w:tmpl w:val="B896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5F1D"/>
    <w:multiLevelType w:val="hybridMultilevel"/>
    <w:tmpl w:val="6884E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721DD"/>
    <w:multiLevelType w:val="hybridMultilevel"/>
    <w:tmpl w:val="C4544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924549"/>
    <w:multiLevelType w:val="multilevel"/>
    <w:tmpl w:val="82C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B735E"/>
    <w:multiLevelType w:val="hybridMultilevel"/>
    <w:tmpl w:val="3B2A07E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5776E30"/>
    <w:multiLevelType w:val="hybridMultilevel"/>
    <w:tmpl w:val="F80A2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0412"/>
    <w:multiLevelType w:val="hybridMultilevel"/>
    <w:tmpl w:val="9D3EF6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43962"/>
    <w:multiLevelType w:val="multilevel"/>
    <w:tmpl w:val="6C046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DC066B6"/>
    <w:multiLevelType w:val="multilevel"/>
    <w:tmpl w:val="2BB41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841C1"/>
    <w:multiLevelType w:val="hybridMultilevel"/>
    <w:tmpl w:val="71D4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4BA6"/>
    <w:multiLevelType w:val="hybridMultilevel"/>
    <w:tmpl w:val="91CA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049BC"/>
    <w:multiLevelType w:val="multilevel"/>
    <w:tmpl w:val="EF1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74C0A"/>
    <w:multiLevelType w:val="hybridMultilevel"/>
    <w:tmpl w:val="E252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7D2F"/>
    <w:multiLevelType w:val="hybridMultilevel"/>
    <w:tmpl w:val="890C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C67FB"/>
    <w:multiLevelType w:val="hybridMultilevel"/>
    <w:tmpl w:val="E65CF716"/>
    <w:lvl w:ilvl="0" w:tplc="E8828092">
      <w:start w:val="1"/>
      <w:numFmt w:val="decimal"/>
      <w:lvlText w:val="%1."/>
      <w:lvlJc w:val="left"/>
      <w:pPr>
        <w:ind w:left="144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7D4A6E"/>
    <w:multiLevelType w:val="hybridMultilevel"/>
    <w:tmpl w:val="1F18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1E11"/>
    <w:multiLevelType w:val="multilevel"/>
    <w:tmpl w:val="62D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D014E"/>
    <w:multiLevelType w:val="hybridMultilevel"/>
    <w:tmpl w:val="852A3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167"/>
    <w:multiLevelType w:val="hybridMultilevel"/>
    <w:tmpl w:val="83BA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3196C"/>
    <w:multiLevelType w:val="hybridMultilevel"/>
    <w:tmpl w:val="73667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8"/>
  </w:num>
  <w:num w:numId="16">
    <w:abstractNumId w:val="19"/>
  </w:num>
  <w:num w:numId="17">
    <w:abstractNumId w:val="24"/>
  </w:num>
  <w:num w:numId="18">
    <w:abstractNumId w:val="39"/>
  </w:num>
  <w:num w:numId="19">
    <w:abstractNumId w:val="14"/>
  </w:num>
  <w:num w:numId="20">
    <w:abstractNumId w:val="13"/>
  </w:num>
  <w:num w:numId="21">
    <w:abstractNumId w:val="21"/>
  </w:num>
  <w:num w:numId="22">
    <w:abstractNumId w:val="38"/>
  </w:num>
  <w:num w:numId="23">
    <w:abstractNumId w:val="31"/>
  </w:num>
  <w:num w:numId="24">
    <w:abstractNumId w:val="9"/>
  </w:num>
  <w:num w:numId="25">
    <w:abstractNumId w:val="28"/>
  </w:num>
  <w:num w:numId="26">
    <w:abstractNumId w:val="22"/>
  </w:num>
  <w:num w:numId="27">
    <w:abstractNumId w:val="30"/>
  </w:num>
  <w:num w:numId="28">
    <w:abstractNumId w:val="33"/>
  </w:num>
  <w:num w:numId="29">
    <w:abstractNumId w:val="34"/>
  </w:num>
  <w:num w:numId="30">
    <w:abstractNumId w:val="7"/>
  </w:num>
  <w:num w:numId="31">
    <w:abstractNumId w:val="4"/>
  </w:num>
  <w:num w:numId="32">
    <w:abstractNumId w:val="17"/>
  </w:num>
  <w:num w:numId="33">
    <w:abstractNumId w:val="23"/>
  </w:num>
  <w:num w:numId="34">
    <w:abstractNumId w:val="3"/>
  </w:num>
  <w:num w:numId="35">
    <w:abstractNumId w:val="1"/>
  </w:num>
  <w:num w:numId="36">
    <w:abstractNumId w:val="15"/>
  </w:num>
  <w:num w:numId="37">
    <w:abstractNumId w:val="11"/>
  </w:num>
  <w:num w:numId="38">
    <w:abstractNumId w:val="32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159FB"/>
    <w:rsid w:val="000358ED"/>
    <w:rsid w:val="000428DB"/>
    <w:rsid w:val="00084137"/>
    <w:rsid w:val="000844B7"/>
    <w:rsid w:val="0008727E"/>
    <w:rsid w:val="000B2F7F"/>
    <w:rsid w:val="000F5A02"/>
    <w:rsid w:val="001024B5"/>
    <w:rsid w:val="001A1234"/>
    <w:rsid w:val="001A6C2C"/>
    <w:rsid w:val="001B33CB"/>
    <w:rsid w:val="001B512F"/>
    <w:rsid w:val="001C0F78"/>
    <w:rsid w:val="001D71D3"/>
    <w:rsid w:val="001E2226"/>
    <w:rsid w:val="00212C7F"/>
    <w:rsid w:val="00236271"/>
    <w:rsid w:val="0026441A"/>
    <w:rsid w:val="002A48DD"/>
    <w:rsid w:val="002B59C0"/>
    <w:rsid w:val="002F68B1"/>
    <w:rsid w:val="00300C3B"/>
    <w:rsid w:val="003317D9"/>
    <w:rsid w:val="00380659"/>
    <w:rsid w:val="00382040"/>
    <w:rsid w:val="003E26DF"/>
    <w:rsid w:val="0043010F"/>
    <w:rsid w:val="00432DA3"/>
    <w:rsid w:val="00461ACA"/>
    <w:rsid w:val="0048755F"/>
    <w:rsid w:val="00496D6B"/>
    <w:rsid w:val="004D2203"/>
    <w:rsid w:val="004D59AB"/>
    <w:rsid w:val="004E32F0"/>
    <w:rsid w:val="004E6F01"/>
    <w:rsid w:val="00506C1C"/>
    <w:rsid w:val="00510BB8"/>
    <w:rsid w:val="00544C09"/>
    <w:rsid w:val="005462A1"/>
    <w:rsid w:val="00551340"/>
    <w:rsid w:val="00560688"/>
    <w:rsid w:val="00593519"/>
    <w:rsid w:val="005C3DE2"/>
    <w:rsid w:val="0064214A"/>
    <w:rsid w:val="0066320A"/>
    <w:rsid w:val="00665228"/>
    <w:rsid w:val="006A18F5"/>
    <w:rsid w:val="00700D1E"/>
    <w:rsid w:val="0073600F"/>
    <w:rsid w:val="00740820"/>
    <w:rsid w:val="007573EF"/>
    <w:rsid w:val="007D12BA"/>
    <w:rsid w:val="007D4863"/>
    <w:rsid w:val="007F2234"/>
    <w:rsid w:val="00812320"/>
    <w:rsid w:val="0083134C"/>
    <w:rsid w:val="00846F7C"/>
    <w:rsid w:val="008557A2"/>
    <w:rsid w:val="00883088"/>
    <w:rsid w:val="00883D77"/>
    <w:rsid w:val="008C4358"/>
    <w:rsid w:val="008C5E57"/>
    <w:rsid w:val="00967BE0"/>
    <w:rsid w:val="009824AE"/>
    <w:rsid w:val="009A5CAC"/>
    <w:rsid w:val="009D3818"/>
    <w:rsid w:val="009E5847"/>
    <w:rsid w:val="00A747AB"/>
    <w:rsid w:val="00AC5AF2"/>
    <w:rsid w:val="00AE180C"/>
    <w:rsid w:val="00AF3577"/>
    <w:rsid w:val="00AF79FE"/>
    <w:rsid w:val="00B30552"/>
    <w:rsid w:val="00B40C4E"/>
    <w:rsid w:val="00B470ED"/>
    <w:rsid w:val="00B94978"/>
    <w:rsid w:val="00B973BB"/>
    <w:rsid w:val="00BA7838"/>
    <w:rsid w:val="00BB4A0A"/>
    <w:rsid w:val="00BB5C52"/>
    <w:rsid w:val="00BD2FE5"/>
    <w:rsid w:val="00BF7D8D"/>
    <w:rsid w:val="00C35CEC"/>
    <w:rsid w:val="00C53E8F"/>
    <w:rsid w:val="00C84601"/>
    <w:rsid w:val="00C91FBC"/>
    <w:rsid w:val="00CF178F"/>
    <w:rsid w:val="00D3246A"/>
    <w:rsid w:val="00D32C52"/>
    <w:rsid w:val="00D63D64"/>
    <w:rsid w:val="00D762AB"/>
    <w:rsid w:val="00DB6FD1"/>
    <w:rsid w:val="00DD7DBA"/>
    <w:rsid w:val="00EC347A"/>
    <w:rsid w:val="00ED3938"/>
    <w:rsid w:val="00EF5C9B"/>
    <w:rsid w:val="00EF6494"/>
    <w:rsid w:val="00F3703C"/>
    <w:rsid w:val="00F51EA1"/>
    <w:rsid w:val="00F7282E"/>
    <w:rsid w:val="00F94EEC"/>
    <w:rsid w:val="00FA200C"/>
    <w:rsid w:val="00FB1C49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,A_wyliczenie,K-P_odwolanie,Akapit z listą5,maz_wyliczenie,opis dzialania,Akapit z listą2,Podsis rysunku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,A_wyliczenie Znak,K-P_odwolanie Znak,Akapit z listą5 Znak,maz_wyliczenie Znak,opis dzialania Znak,Akapit z listą2 Znak,Podsis rysunku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3</cp:revision>
  <cp:lastPrinted>2020-03-05T08:50:00Z</cp:lastPrinted>
  <dcterms:created xsi:type="dcterms:W3CDTF">2023-02-23T11:29:00Z</dcterms:created>
  <dcterms:modified xsi:type="dcterms:W3CDTF">2023-03-29T07:25:00Z</dcterms:modified>
</cp:coreProperties>
</file>